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5C3F7">
      <w:pPr>
        <w:keepNext w:val="0"/>
        <w:keepLines w:val="0"/>
        <w:pageBreakBefore w:val="0"/>
        <w:wordWrap/>
        <w:topLinePunct w:val="0"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吴忠市红寺堡区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残联20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年度残疾人事业发展补助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项目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资金绩效自评报告</w:t>
      </w:r>
    </w:p>
    <w:p w14:paraId="6B48DFBF">
      <w:pPr>
        <w:keepNext w:val="0"/>
        <w:keepLines w:val="0"/>
        <w:pageBreakBefore w:val="0"/>
        <w:widowControl/>
        <w:wordWrap/>
        <w:topLinePunct w:val="0"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-14"/>
          <w:szCs w:val="32"/>
        </w:rPr>
      </w:pPr>
    </w:p>
    <w:p w14:paraId="25B70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红寺堡区财政局</w:t>
      </w:r>
      <w:r>
        <w:rPr>
          <w:rFonts w:hint="default" w:ascii="Times New Roman" w:hAnsi="Times New Roman" w:cs="Times New Roman"/>
          <w:szCs w:val="32"/>
        </w:rPr>
        <w:t>：</w:t>
      </w:r>
    </w:p>
    <w:p w14:paraId="09753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根据《自治区党委人民政府关于全面实施预算绩效管理的实施意见》（宁党发〔2019〕9号）要求，对照残疾人事业发展补助资金整体绩效目标，我会严格依据年度绩效目标申报内容，认真开展绩效自评，现将20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cs="Times New Roman"/>
          <w:sz w:val="32"/>
          <w:szCs w:val="32"/>
        </w:rPr>
        <w:t>年度转移支付绩效自评相关情况报告如下：</w:t>
      </w:r>
    </w:p>
    <w:p w14:paraId="0C253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一、20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23</w:t>
      </w:r>
      <w:r>
        <w:rPr>
          <w:rFonts w:hint="default" w:ascii="Times New Roman" w:hAnsi="Times New Roman" w:eastAsia="黑体" w:cs="Times New Roman"/>
          <w:szCs w:val="32"/>
        </w:rPr>
        <w:t>年使用转移支付资金总体情况</w:t>
      </w:r>
    </w:p>
    <w:p w14:paraId="07578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cs="Times New Roman"/>
          <w:b/>
          <w:bCs/>
          <w:szCs w:val="32"/>
        </w:rPr>
      </w:pPr>
      <w:r>
        <w:rPr>
          <w:rFonts w:hint="default" w:ascii="Times New Roman" w:hAnsi="Times New Roman" w:eastAsia="CESI楷体-GB2312" w:cs="Times New Roman"/>
          <w:b/>
          <w:bCs/>
          <w:szCs w:val="32"/>
        </w:rPr>
        <w:t>（一）中央专项转移支付一般公共预算资金收支情况</w:t>
      </w:r>
    </w:p>
    <w:p w14:paraId="73E61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2023年红寺堡区残联共收到</w:t>
      </w:r>
      <w:r>
        <w:rPr>
          <w:rFonts w:hint="default" w:ascii="Times New Roman" w:hAnsi="Times New Roman" w:cs="Times New Roman"/>
          <w:szCs w:val="32"/>
        </w:rPr>
        <w:t>中央专项转移支付一般公共预算资金</w:t>
      </w:r>
      <w:r>
        <w:rPr>
          <w:rFonts w:hint="default" w:ascii="Times New Roman" w:hAnsi="Times New Roman" w:cs="Times New Roman"/>
          <w:szCs w:val="32"/>
          <w:lang w:eastAsia="zh-CN"/>
        </w:rPr>
        <w:t>涉及项目</w:t>
      </w:r>
      <w:r>
        <w:rPr>
          <w:rFonts w:hint="default" w:ascii="Times New Roman" w:hAnsi="Times New Roman" w:cs="Times New Roman"/>
          <w:szCs w:val="32"/>
          <w:lang w:val="en-US" w:eastAsia="zh-CN"/>
        </w:rPr>
        <w:t>3个资金97.7万元。截止2023年12月31日，支出资金97.7万元，结余数为0。</w:t>
      </w:r>
    </w:p>
    <w:p w14:paraId="767D3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CESI楷体-GB2312" w:cs="Times New Roman"/>
          <w:b/>
          <w:bCs/>
          <w:szCs w:val="32"/>
        </w:rPr>
      </w:pPr>
      <w:r>
        <w:rPr>
          <w:rFonts w:hint="default" w:ascii="Times New Roman" w:hAnsi="Times New Roman" w:eastAsia="CESI楷体-GB2312" w:cs="Times New Roman"/>
          <w:b/>
          <w:bCs/>
          <w:szCs w:val="32"/>
        </w:rPr>
        <w:t>（二）中央专项转移支付彩票公益金资金收支情况</w:t>
      </w:r>
    </w:p>
    <w:p w14:paraId="3E304530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2023年红寺堡区残联共收到</w:t>
      </w:r>
      <w:r>
        <w:rPr>
          <w:rFonts w:hint="default" w:ascii="Times New Roman" w:hAnsi="Times New Roman" w:cs="Times New Roman"/>
          <w:szCs w:val="32"/>
        </w:rPr>
        <w:t>中央专项转移支付彩票公益金</w:t>
      </w:r>
      <w:r>
        <w:rPr>
          <w:rFonts w:hint="default" w:ascii="Times New Roman" w:hAnsi="Times New Roman" w:cs="Times New Roman"/>
          <w:szCs w:val="32"/>
          <w:lang w:eastAsia="zh-CN"/>
        </w:rPr>
        <w:t>涉及项目</w:t>
      </w:r>
      <w:r>
        <w:rPr>
          <w:rFonts w:hint="default" w:ascii="Times New Roman" w:hAnsi="Times New Roman" w:cs="Times New Roman"/>
          <w:szCs w:val="32"/>
          <w:lang w:val="en-US" w:eastAsia="zh-CN"/>
        </w:rPr>
        <w:t>3个资金66.2万元。截止2023年12月31日，支出资金66.2万元，结余数为0。</w:t>
      </w:r>
    </w:p>
    <w:p w14:paraId="3AF1BD16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CESI楷体-GB2312" w:cs="Times New Roman"/>
          <w:b/>
          <w:bCs/>
          <w:szCs w:val="32"/>
        </w:rPr>
      </w:pPr>
      <w:r>
        <w:rPr>
          <w:rFonts w:hint="default" w:ascii="Times New Roman" w:hAnsi="Times New Roman" w:eastAsia="CESI楷体-GB2312" w:cs="Times New Roman"/>
          <w:b/>
          <w:bCs/>
          <w:szCs w:val="32"/>
        </w:rPr>
        <w:t>（三）自治区一般公共预算资金专项转移支付资金收支情况</w:t>
      </w:r>
    </w:p>
    <w:p w14:paraId="104E3E0D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2023年红寺堡区残联共收到</w:t>
      </w:r>
      <w:r>
        <w:rPr>
          <w:rFonts w:hint="default" w:ascii="Times New Roman" w:hAnsi="Times New Roman" w:cs="Times New Roman"/>
          <w:szCs w:val="32"/>
        </w:rPr>
        <w:t>自治区一般公共预算资金</w:t>
      </w:r>
      <w:r>
        <w:rPr>
          <w:rFonts w:hint="default" w:ascii="Times New Roman" w:hAnsi="Times New Roman" w:cs="Times New Roman"/>
          <w:szCs w:val="32"/>
          <w:lang w:eastAsia="zh-CN"/>
        </w:rPr>
        <w:t>涉及项目</w:t>
      </w:r>
      <w:r>
        <w:rPr>
          <w:rFonts w:hint="default" w:ascii="Times New Roman" w:hAnsi="Times New Roman" w:cs="Times New Roman"/>
          <w:szCs w:val="32"/>
          <w:lang w:val="en-US" w:eastAsia="zh-CN"/>
        </w:rPr>
        <w:t>18个资金472.67万元（包括上年结转资金18.64万元）。截止2023年12月31日，支出资金456.22万元，结余数为16.45万元。</w:t>
      </w:r>
    </w:p>
    <w:p w14:paraId="4F1EB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CESI楷体-GB2312" w:cs="Times New Roman"/>
          <w:b/>
          <w:bCs/>
          <w:szCs w:val="32"/>
        </w:rPr>
      </w:pPr>
      <w:r>
        <w:rPr>
          <w:rFonts w:hint="default" w:ascii="Times New Roman" w:hAnsi="Times New Roman" w:eastAsia="CESI楷体-GB2312" w:cs="Times New Roman"/>
          <w:b/>
          <w:bCs/>
          <w:szCs w:val="32"/>
        </w:rPr>
        <w:t>（</w:t>
      </w:r>
      <w:r>
        <w:rPr>
          <w:rFonts w:hint="default" w:ascii="Times New Roman" w:hAnsi="Times New Roman" w:eastAsia="CESI楷体-GB2312" w:cs="Times New Roman"/>
          <w:b/>
          <w:bCs/>
          <w:szCs w:val="32"/>
          <w:lang w:eastAsia="zh-CN"/>
        </w:rPr>
        <w:t>四</w:t>
      </w:r>
      <w:r>
        <w:rPr>
          <w:rFonts w:hint="default" w:ascii="Times New Roman" w:hAnsi="Times New Roman" w:eastAsia="CESI楷体-GB2312" w:cs="Times New Roman"/>
          <w:b/>
          <w:bCs/>
          <w:szCs w:val="32"/>
        </w:rPr>
        <w:t>）自治区彩票公益金专项转移支付资金收支情况</w:t>
      </w:r>
    </w:p>
    <w:p w14:paraId="68281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2023年红寺堡区残联共收到</w:t>
      </w:r>
      <w:r>
        <w:rPr>
          <w:rFonts w:hint="default" w:ascii="Times New Roman" w:hAnsi="Times New Roman" w:cs="Times New Roman"/>
          <w:szCs w:val="32"/>
        </w:rPr>
        <w:t>自治区彩票公益金</w:t>
      </w:r>
      <w:r>
        <w:rPr>
          <w:rFonts w:hint="default" w:ascii="Times New Roman" w:hAnsi="Times New Roman" w:cs="Times New Roman"/>
          <w:szCs w:val="32"/>
          <w:lang w:eastAsia="zh-CN"/>
        </w:rPr>
        <w:t>涉及项目</w:t>
      </w:r>
      <w:r>
        <w:rPr>
          <w:rFonts w:hint="default" w:ascii="Times New Roman" w:hAnsi="Times New Roman" w:cs="Times New Roman"/>
          <w:szCs w:val="32"/>
          <w:lang w:val="en-US" w:eastAsia="zh-CN"/>
        </w:rPr>
        <w:t>1个资金90万元。截止2023年12月31日，支出资金90万元，结余数为0。</w:t>
      </w:r>
    </w:p>
    <w:p w14:paraId="4320C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二、绩效目标完成情况分析</w:t>
      </w:r>
    </w:p>
    <w:p w14:paraId="427E4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楷体_GB2312" w:cs="Times New Roman"/>
          <w:b/>
          <w:bCs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Cs w:val="32"/>
        </w:rPr>
        <w:t>（一）资金投入情况分析</w:t>
      </w:r>
    </w:p>
    <w:p w14:paraId="0BDED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1.项目资金到位情况分析</w:t>
      </w:r>
    </w:p>
    <w:p w14:paraId="1CF75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（1）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</w:rPr>
        <w:t>月收到《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自治区财政厅 自治区残联关于提前下达2023年自治区彩票公益金支持残疾人事业专项资金预算的通知</w:t>
      </w:r>
      <w:r>
        <w:rPr>
          <w:rFonts w:hint="default" w:ascii="Times New Roman" w:hAnsi="Times New Roman" w:cs="Times New Roman"/>
          <w:sz w:val="32"/>
          <w:szCs w:val="32"/>
        </w:rPr>
        <w:t>》（宁财（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综</w:t>
      </w:r>
      <w:r>
        <w:rPr>
          <w:rFonts w:hint="default" w:ascii="Times New Roman" w:hAnsi="Times New Roman" w:cs="Times New Roman"/>
          <w:sz w:val="32"/>
          <w:szCs w:val="32"/>
        </w:rPr>
        <w:t>）指标〔20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721</w:t>
      </w:r>
      <w:r>
        <w:rPr>
          <w:rFonts w:hint="default" w:ascii="Times New Roman" w:hAnsi="Times New Roman" w:cs="Times New Roman"/>
          <w:sz w:val="32"/>
          <w:szCs w:val="32"/>
        </w:rPr>
        <w:t>号），下达我县（区）预算指标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45</w:t>
      </w: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</w:rPr>
        <w:t>万元。</w:t>
      </w:r>
      <w:r>
        <w:rPr>
          <w:rFonts w:hint="default" w:ascii="Times New Roman" w:hAnsi="Times New Roman" w:cs="Times New Roman"/>
          <w:szCs w:val="32"/>
        </w:rPr>
        <w:t>其中：</w:t>
      </w:r>
      <w:r>
        <w:rPr>
          <w:rFonts w:hint="default" w:ascii="Times New Roman" w:hAnsi="Times New Roman" w:cs="Times New Roman"/>
          <w:b/>
          <w:szCs w:val="32"/>
        </w:rPr>
        <w:t>残疾人事业发展补贴资金</w:t>
      </w:r>
      <w:r>
        <w:rPr>
          <w:rFonts w:hint="default" w:ascii="Times New Roman" w:hAnsi="Times New Roman" w:cs="Times New Roman"/>
          <w:b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szCs w:val="32"/>
        </w:rPr>
        <w:t>万元</w:t>
      </w:r>
      <w:r>
        <w:rPr>
          <w:rFonts w:hint="default" w:ascii="Times New Roman" w:hAnsi="Times New Roman" w:cs="Times New Roman"/>
          <w:szCs w:val="32"/>
        </w:rPr>
        <w:t>；</w:t>
      </w:r>
      <w:r>
        <w:rPr>
          <w:rFonts w:hint="default" w:ascii="Times New Roman" w:hAnsi="Times New Roman" w:cs="Times New Roman"/>
          <w:b/>
          <w:szCs w:val="32"/>
        </w:rPr>
        <w:t>中央专项彩票公益金</w:t>
      </w:r>
      <w:r>
        <w:rPr>
          <w:rFonts w:hint="default" w:ascii="Times New Roman" w:hAnsi="Times New Roman" w:cs="Times New Roman"/>
          <w:b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szCs w:val="32"/>
        </w:rPr>
        <w:t>万元</w:t>
      </w:r>
      <w:r>
        <w:rPr>
          <w:rFonts w:hint="default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主要用于</w:t>
      </w:r>
      <w:r>
        <w:rPr>
          <w:rFonts w:hint="default" w:ascii="Times New Roman" w:hAnsi="Times New Roman" w:cs="Times New Roman"/>
          <w:szCs w:val="32"/>
          <w:lang w:eastAsia="zh-CN"/>
        </w:rPr>
        <w:t>困难残疾人家庭无障碍改造</w:t>
      </w:r>
      <w:r>
        <w:rPr>
          <w:rFonts w:hint="default" w:ascii="Times New Roman" w:hAnsi="Times New Roman" w:cs="Times New Roman"/>
          <w:szCs w:val="32"/>
          <w:lang w:val="en-US" w:eastAsia="zh-CN"/>
        </w:rPr>
        <w:t>45万元。</w:t>
      </w:r>
    </w:p>
    <w:p w14:paraId="450C88CC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（2）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</w:rPr>
        <w:t>月收到《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自治区财政厅 自治区残疾人联合会关于提前下达2023年中央和自治区财政残疾人事业发展补助资金预算指标的通知</w:t>
      </w:r>
      <w:r>
        <w:rPr>
          <w:rFonts w:hint="default" w:ascii="Times New Roman" w:hAnsi="Times New Roman" w:cs="Times New Roman"/>
          <w:sz w:val="32"/>
          <w:szCs w:val="32"/>
        </w:rPr>
        <w:t>》（宁财（社）指标〔20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723</w:t>
      </w:r>
      <w:r>
        <w:rPr>
          <w:rFonts w:hint="default" w:ascii="Times New Roman" w:hAnsi="Times New Roman" w:cs="Times New Roman"/>
          <w:sz w:val="32"/>
          <w:szCs w:val="32"/>
        </w:rPr>
        <w:t>号），下达我县（区）预算指标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600.43</w:t>
      </w:r>
      <w:r>
        <w:rPr>
          <w:rFonts w:hint="default" w:ascii="Times New Roman" w:hAnsi="Times New Roman" w:cs="Times New Roman"/>
          <w:sz w:val="32"/>
          <w:szCs w:val="32"/>
        </w:rPr>
        <w:t>万元。其中：</w:t>
      </w:r>
      <w:r>
        <w:rPr>
          <w:rFonts w:hint="default" w:ascii="Times New Roman" w:hAnsi="Times New Roman" w:cs="Times New Roman"/>
          <w:b/>
          <w:szCs w:val="32"/>
        </w:rPr>
        <w:t>残疾人事业发展补贴资金（一般公共预算）</w:t>
      </w:r>
      <w:r>
        <w:rPr>
          <w:rFonts w:hint="default" w:ascii="Times New Roman" w:hAnsi="Times New Roman" w:cs="Times New Roman"/>
          <w:b/>
          <w:szCs w:val="32"/>
          <w:lang w:val="en-US" w:eastAsia="zh-CN"/>
        </w:rPr>
        <w:t>534.23</w:t>
      </w:r>
      <w:r>
        <w:rPr>
          <w:rFonts w:hint="default" w:ascii="Times New Roman" w:hAnsi="Times New Roman" w:cs="Times New Roman"/>
          <w:b/>
          <w:szCs w:val="32"/>
        </w:rPr>
        <w:t>万元</w:t>
      </w:r>
      <w:r>
        <w:rPr>
          <w:rFonts w:hint="default" w:ascii="Times New Roman" w:hAnsi="Times New Roman" w:cs="Times New Roman"/>
          <w:szCs w:val="32"/>
        </w:rPr>
        <w:t>，</w:t>
      </w:r>
      <w:r>
        <w:rPr>
          <w:rFonts w:hint="default" w:ascii="Times New Roman" w:hAnsi="Times New Roman" w:cs="Times New Roman"/>
          <w:sz w:val="32"/>
          <w:szCs w:val="32"/>
        </w:rPr>
        <w:t>主要用于：农村贫困残疾人实用技术培训资金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19.5</w:t>
      </w:r>
      <w:r>
        <w:rPr>
          <w:rFonts w:hint="default" w:ascii="Times New Roman" w:hAnsi="Times New Roman" w:cs="Times New Roman"/>
          <w:sz w:val="32"/>
          <w:szCs w:val="32"/>
        </w:rPr>
        <w:t>万元、“阳光家园计划”残疾人托养服务项目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资</w:t>
      </w:r>
      <w:r>
        <w:rPr>
          <w:rFonts w:hint="default" w:ascii="Times New Roman" w:hAnsi="Times New Roman" w:cs="Times New Roman"/>
          <w:sz w:val="32"/>
          <w:szCs w:val="32"/>
        </w:rPr>
        <w:t>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26.7</w:t>
      </w:r>
      <w:r>
        <w:rPr>
          <w:rFonts w:hint="default" w:ascii="Times New Roman" w:hAnsi="Times New Roman" w:cs="Times New Roman"/>
          <w:sz w:val="32"/>
          <w:szCs w:val="32"/>
        </w:rPr>
        <w:t>万元、0-6岁残疾儿童康复救助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资金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cs="Times New Roman"/>
          <w:sz w:val="32"/>
          <w:szCs w:val="32"/>
        </w:rPr>
        <w:t>万元、基本康复服务资金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105</w:t>
      </w:r>
      <w:r>
        <w:rPr>
          <w:rFonts w:hint="default" w:ascii="Times New Roman" w:hAnsi="Times New Roman" w:cs="Times New Roman"/>
          <w:sz w:val="32"/>
          <w:szCs w:val="32"/>
        </w:rPr>
        <w:t>万元、就业年龄段残疾人意外伤害综合保险项目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资金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7.5</w:t>
      </w:r>
      <w:r>
        <w:rPr>
          <w:rFonts w:hint="default" w:ascii="Times New Roman" w:hAnsi="Times New Roman" w:cs="Times New Roman"/>
          <w:sz w:val="32"/>
          <w:szCs w:val="32"/>
        </w:rPr>
        <w:t>万元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、个体工商户养老保险补贴项目资金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1.04万元、残疾人助学项目资金12万元、残疾人托养服务项目资金54.9万元、阳光助残小康计划项目资金51.2万元、残疾人产业扶持项目资金30万元、残疾人就业项目资金147.85万元、残疾人体育项目资金15万元以及全区持证残疾人基本状况调查项目资金23.54万元；</w:t>
      </w:r>
      <w:r>
        <w:rPr>
          <w:rFonts w:hint="default" w:ascii="Times New Roman" w:hAnsi="Times New Roman" w:cs="Times New Roman"/>
          <w:b/>
          <w:szCs w:val="32"/>
        </w:rPr>
        <w:t>中央专项彩票公益金</w:t>
      </w:r>
      <w:r>
        <w:rPr>
          <w:rFonts w:hint="default" w:ascii="Times New Roman" w:hAnsi="Times New Roman" w:cs="Times New Roman"/>
          <w:b/>
          <w:szCs w:val="32"/>
          <w:lang w:val="en-US" w:eastAsia="zh-CN"/>
        </w:rPr>
        <w:t>66.2</w:t>
      </w:r>
      <w:r>
        <w:rPr>
          <w:rFonts w:hint="default" w:ascii="Times New Roman" w:hAnsi="Times New Roman" w:cs="Times New Roman"/>
          <w:b/>
          <w:szCs w:val="32"/>
        </w:rPr>
        <w:t>万元</w:t>
      </w:r>
      <w:r>
        <w:rPr>
          <w:rFonts w:hint="default" w:ascii="Times New Roman" w:hAnsi="Times New Roman" w:cs="Times New Roman"/>
          <w:szCs w:val="32"/>
        </w:rPr>
        <w:t>，</w:t>
      </w:r>
      <w:r>
        <w:rPr>
          <w:rFonts w:hint="default" w:ascii="Times New Roman" w:hAnsi="Times New Roman" w:cs="Times New Roman"/>
          <w:sz w:val="32"/>
          <w:szCs w:val="32"/>
        </w:rPr>
        <w:t>主要用于：0-6岁残疾儿童康复救助及早期干预试点资金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cs="Times New Roman"/>
          <w:sz w:val="32"/>
          <w:szCs w:val="32"/>
        </w:rPr>
        <w:t>万元、残疾评定补贴资金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4.2</w:t>
      </w:r>
      <w:r>
        <w:rPr>
          <w:rFonts w:hint="default" w:ascii="Times New Roman" w:hAnsi="Times New Roman" w:cs="Times New Roman"/>
          <w:sz w:val="32"/>
          <w:szCs w:val="32"/>
        </w:rPr>
        <w:t>万元、残疾人文化服务项目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 w:val="32"/>
          <w:szCs w:val="32"/>
        </w:rPr>
        <w:t>万元。</w:t>
      </w:r>
    </w:p>
    <w:p w14:paraId="4D6D2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（3）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 w:val="32"/>
          <w:szCs w:val="32"/>
        </w:rPr>
        <w:t>月收到《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自治区财政厅 自治区残疾人联合会关于下达2023年中央财政残疾人事业发展补助资金预算的通知</w:t>
      </w:r>
      <w:r>
        <w:rPr>
          <w:rFonts w:hint="default" w:ascii="Times New Roman" w:hAnsi="Times New Roman" w:cs="Times New Roman"/>
          <w:sz w:val="32"/>
          <w:szCs w:val="32"/>
        </w:rPr>
        <w:t>》（宁财（社）指标〔20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215</w:t>
      </w:r>
      <w:r>
        <w:rPr>
          <w:rFonts w:hint="default" w:ascii="Times New Roman" w:hAnsi="Times New Roman" w:cs="Times New Roman"/>
          <w:sz w:val="32"/>
          <w:szCs w:val="32"/>
        </w:rPr>
        <w:t>号），下达我县（区）预算指标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17.5</w:t>
      </w:r>
      <w:r>
        <w:rPr>
          <w:rFonts w:hint="default" w:ascii="Times New Roman" w:hAnsi="Times New Roman" w:cs="Times New Roman"/>
          <w:sz w:val="32"/>
          <w:szCs w:val="32"/>
        </w:rPr>
        <w:t>万元。其中：</w:t>
      </w:r>
      <w:r>
        <w:rPr>
          <w:rFonts w:hint="default" w:ascii="Times New Roman" w:hAnsi="Times New Roman" w:cs="Times New Roman"/>
          <w:b/>
          <w:szCs w:val="32"/>
        </w:rPr>
        <w:t>残疾人事业发展补贴资金（一般公共预算）</w:t>
      </w:r>
      <w:r>
        <w:rPr>
          <w:rFonts w:hint="default" w:ascii="Times New Roman" w:hAnsi="Times New Roman" w:cs="Times New Roman"/>
          <w:b/>
          <w:szCs w:val="32"/>
          <w:lang w:val="en-US" w:eastAsia="zh-CN"/>
        </w:rPr>
        <w:t>17.5</w:t>
      </w:r>
      <w:r>
        <w:rPr>
          <w:rFonts w:hint="default" w:ascii="Times New Roman" w:hAnsi="Times New Roman" w:cs="Times New Roman"/>
          <w:b/>
          <w:szCs w:val="32"/>
        </w:rPr>
        <w:t>万元</w:t>
      </w:r>
      <w:r>
        <w:rPr>
          <w:rFonts w:hint="default" w:ascii="Times New Roman" w:hAnsi="Times New Roman" w:cs="Times New Roman"/>
          <w:szCs w:val="32"/>
        </w:rPr>
        <w:t>，</w:t>
      </w:r>
      <w:r>
        <w:rPr>
          <w:rFonts w:hint="default" w:ascii="Times New Roman" w:hAnsi="Times New Roman" w:cs="Times New Roman"/>
          <w:sz w:val="32"/>
          <w:szCs w:val="32"/>
        </w:rPr>
        <w:t>主要用于：残疾人基本康复服务项目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资金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sz w:val="32"/>
          <w:szCs w:val="32"/>
        </w:rPr>
        <w:t>万元、阳光家园计划—智力、精神和重度残疾人托养服务项目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资金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7.5</w:t>
      </w:r>
      <w:r>
        <w:rPr>
          <w:rFonts w:hint="default" w:ascii="Times New Roman" w:hAnsi="Times New Roman" w:cs="Times New Roman"/>
          <w:sz w:val="32"/>
          <w:szCs w:val="32"/>
        </w:rPr>
        <w:t>万元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b/>
          <w:szCs w:val="32"/>
        </w:rPr>
        <w:t>中央专项彩票公益金</w:t>
      </w:r>
      <w:r>
        <w:rPr>
          <w:rFonts w:hint="default" w:ascii="Times New Roman" w:hAnsi="Times New Roman" w:cs="Times New Roman"/>
          <w:b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szCs w:val="32"/>
        </w:rPr>
        <w:t>万元</w:t>
      </w:r>
      <w:r>
        <w:rPr>
          <w:rFonts w:hint="default" w:ascii="Times New Roman" w:hAnsi="Times New Roman" w:cs="Times New Roman"/>
          <w:sz w:val="32"/>
          <w:szCs w:val="32"/>
        </w:rPr>
        <w:t>。</w:t>
      </w:r>
    </w:p>
    <w:p w14:paraId="57CAD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cs="Times New Roman"/>
          <w:b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2.项目资金执行情况分析</w:t>
      </w:r>
    </w:p>
    <w:p w14:paraId="578E8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（1）中央下达残疾人事业发展补助（一般公共预算）资金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97.7</w:t>
      </w:r>
      <w:r>
        <w:rPr>
          <w:rFonts w:hint="default" w:ascii="Times New Roman" w:hAnsi="Times New Roman" w:cs="Times New Roman"/>
          <w:sz w:val="32"/>
          <w:szCs w:val="32"/>
        </w:rPr>
        <w:t>万元，截止20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cs="Times New Roman"/>
          <w:sz w:val="32"/>
          <w:szCs w:val="32"/>
        </w:rPr>
        <w:t>年12月底共支出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97.7</w:t>
      </w:r>
      <w:r>
        <w:rPr>
          <w:rFonts w:hint="default" w:ascii="Times New Roman" w:hAnsi="Times New Roman" w:cs="Times New Roman"/>
          <w:sz w:val="32"/>
          <w:szCs w:val="32"/>
        </w:rPr>
        <w:t>万元，占资金总量的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14.34</w:t>
      </w:r>
      <w:r>
        <w:rPr>
          <w:rFonts w:hint="default" w:ascii="Times New Roman" w:hAnsi="Times New Roman" w:cs="Times New Roman"/>
          <w:sz w:val="32"/>
          <w:szCs w:val="32"/>
        </w:rPr>
        <w:t>%</w:t>
      </w:r>
      <w:r>
        <w:rPr>
          <w:rFonts w:hint="default" w:ascii="Times New Roman" w:hAnsi="Times New Roman" w:cs="Times New Roman"/>
          <w:szCs w:val="32"/>
          <w:lang w:val="en-US" w:eastAsia="zh-CN"/>
        </w:rPr>
        <w:t>（包括上年结转资金18.64万元）</w:t>
      </w:r>
      <w:r>
        <w:rPr>
          <w:rFonts w:hint="default" w:ascii="Times New Roman" w:hAnsi="Times New Roman" w:cs="Times New Roman"/>
          <w:sz w:val="32"/>
          <w:szCs w:val="32"/>
        </w:rPr>
        <w:t>。</w:t>
      </w:r>
    </w:p>
    <w:p w14:paraId="70B38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（2）中央下达专项彩票公益金（支持残疾人事业发展补助资金）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66.2</w:t>
      </w:r>
      <w:r>
        <w:rPr>
          <w:rFonts w:hint="default" w:ascii="Times New Roman" w:hAnsi="Times New Roman" w:cs="Times New Roman"/>
          <w:sz w:val="32"/>
          <w:szCs w:val="32"/>
        </w:rPr>
        <w:t>万元，截止20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cs="Times New Roman"/>
          <w:sz w:val="32"/>
          <w:szCs w:val="32"/>
        </w:rPr>
        <w:t>年12月底共支出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66.2</w:t>
      </w:r>
      <w:r>
        <w:rPr>
          <w:rFonts w:hint="default" w:ascii="Times New Roman" w:hAnsi="Times New Roman" w:cs="Times New Roman"/>
          <w:sz w:val="32"/>
          <w:szCs w:val="32"/>
        </w:rPr>
        <w:t>万元，占资金总量的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9.71</w:t>
      </w:r>
      <w:r>
        <w:rPr>
          <w:rFonts w:hint="default" w:ascii="Times New Roman" w:hAnsi="Times New Roman" w:cs="Times New Roman"/>
          <w:sz w:val="32"/>
          <w:szCs w:val="32"/>
        </w:rPr>
        <w:t>%</w:t>
      </w:r>
      <w:r>
        <w:rPr>
          <w:rFonts w:hint="default" w:ascii="Times New Roman" w:hAnsi="Times New Roman" w:cs="Times New Roman"/>
          <w:szCs w:val="32"/>
          <w:lang w:val="en-US" w:eastAsia="zh-CN"/>
        </w:rPr>
        <w:t>（包括上年结转资金18.64万元）</w:t>
      </w:r>
      <w:r>
        <w:rPr>
          <w:rFonts w:hint="default" w:ascii="Times New Roman" w:hAnsi="Times New Roman" w:cs="Times New Roman"/>
          <w:sz w:val="32"/>
          <w:szCs w:val="32"/>
        </w:rPr>
        <w:t>。</w:t>
      </w:r>
    </w:p>
    <w:p w14:paraId="6492B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（3）自治区一般公共预算残疾人事业发展补助资金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472.67</w:t>
      </w:r>
      <w:r>
        <w:rPr>
          <w:rFonts w:hint="default" w:ascii="Times New Roman" w:hAnsi="Times New Roman" w:cs="Times New Roman"/>
          <w:sz w:val="32"/>
          <w:szCs w:val="32"/>
        </w:rPr>
        <w:t>万元，截止20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sz w:val="32"/>
          <w:szCs w:val="32"/>
        </w:rPr>
        <w:t>月底共支出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456.22</w:t>
      </w:r>
      <w:r>
        <w:rPr>
          <w:rFonts w:hint="default" w:ascii="Times New Roman" w:hAnsi="Times New Roman" w:cs="Times New Roman"/>
          <w:sz w:val="32"/>
          <w:szCs w:val="32"/>
        </w:rPr>
        <w:t>万元，占资金总量的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66.94</w:t>
      </w:r>
      <w:r>
        <w:rPr>
          <w:rFonts w:hint="default" w:ascii="Times New Roman" w:hAnsi="Times New Roman" w:cs="Times New Roman"/>
          <w:sz w:val="32"/>
          <w:szCs w:val="32"/>
        </w:rPr>
        <w:t>%</w:t>
      </w:r>
      <w:r>
        <w:rPr>
          <w:rFonts w:hint="default" w:ascii="Times New Roman" w:hAnsi="Times New Roman" w:cs="Times New Roman"/>
          <w:szCs w:val="32"/>
          <w:lang w:val="en-US" w:eastAsia="zh-CN"/>
        </w:rPr>
        <w:t>（包括上年结转资金18.64万元）</w:t>
      </w:r>
      <w:r>
        <w:rPr>
          <w:rFonts w:hint="default" w:ascii="Times New Roman" w:hAnsi="Times New Roman" w:cs="Times New Roman"/>
          <w:sz w:val="32"/>
          <w:szCs w:val="32"/>
        </w:rPr>
        <w:t>。</w:t>
      </w:r>
    </w:p>
    <w:p w14:paraId="4417C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（4）自治区彩票公益金（支持残疾人事业发展补助资金）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cs="Times New Roman"/>
          <w:sz w:val="32"/>
          <w:szCs w:val="32"/>
        </w:rPr>
        <w:t>万元，截止20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cs="Times New Roman"/>
          <w:sz w:val="32"/>
          <w:szCs w:val="32"/>
        </w:rPr>
        <w:t>年12月底共支出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cs="Times New Roman"/>
          <w:sz w:val="32"/>
          <w:szCs w:val="32"/>
        </w:rPr>
        <w:t>万元，占资金总量的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6.6</w:t>
      </w:r>
      <w:r>
        <w:rPr>
          <w:rFonts w:hint="default" w:ascii="Times New Roman" w:hAnsi="Times New Roman" w:cs="Times New Roman"/>
          <w:sz w:val="32"/>
          <w:szCs w:val="32"/>
        </w:rPr>
        <w:t>%</w:t>
      </w:r>
      <w:r>
        <w:rPr>
          <w:rFonts w:hint="default" w:ascii="Times New Roman" w:hAnsi="Times New Roman" w:cs="Times New Roman"/>
          <w:szCs w:val="32"/>
          <w:lang w:val="en-US" w:eastAsia="zh-CN"/>
        </w:rPr>
        <w:t>（包括上年结转资金18.64万元）</w:t>
      </w:r>
      <w:r>
        <w:rPr>
          <w:rFonts w:hint="default" w:ascii="Times New Roman" w:hAnsi="Times New Roman" w:cs="Times New Roman"/>
          <w:sz w:val="32"/>
          <w:szCs w:val="32"/>
        </w:rPr>
        <w:t>。</w:t>
      </w:r>
    </w:p>
    <w:p w14:paraId="2107A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3.项目资金管理情况分析</w:t>
      </w:r>
    </w:p>
    <w:p w14:paraId="64A3C244">
      <w:pPr>
        <w:keepNext w:val="0"/>
        <w:keepLines w:val="0"/>
        <w:pageBreakBefore w:val="0"/>
        <w:wordWrap/>
        <w:overflowPunct w:val="0"/>
        <w:topLinePunct w:val="0"/>
        <w:autoSpaceDN/>
        <w:bidi w:val="0"/>
        <w:adjustRightInd w:val="0"/>
        <w:snapToGrid w:val="0"/>
        <w:spacing w:line="560" w:lineRule="exact"/>
        <w:ind w:firstLine="632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2023年共收到</w:t>
      </w:r>
      <w:r>
        <w:rPr>
          <w:rFonts w:hint="default" w:ascii="Times New Roman" w:hAnsi="Times New Roman" w:cs="Times New Roman"/>
          <w:sz w:val="32"/>
          <w:szCs w:val="32"/>
        </w:rPr>
        <w:t>残疾人事业发展补助资金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662.93万元，上年结转资金18.64万元，无同级财政收回转移支付资金情况。截止2023年底，本年资金结转16.45万元。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各项目在实施以及资金支付上未发现项目资金方面存在问题，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资金的拨付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eastAsia="zh-CN"/>
        </w:rPr>
        <w:t>都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有完整的审批程序和手续，实行国库集中支付程序的，严格按照财政国库管理制度有关规定执行，支出方向与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eastAsia="zh-CN"/>
        </w:rPr>
        <w:t>补助资金预算指标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的内容一致。未发现虚列支出、资金截留、挤占等现象。</w:t>
      </w:r>
    </w:p>
    <w:p w14:paraId="27605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楷体_GB2312" w:cs="Times New Roman"/>
          <w:b/>
          <w:bCs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Cs w:val="32"/>
        </w:rPr>
        <w:t>（二）绩效目标完成情况分析</w:t>
      </w:r>
    </w:p>
    <w:p w14:paraId="6D44D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1.产出指标完成情况分析</w:t>
      </w:r>
    </w:p>
    <w:p w14:paraId="7FA03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cs="Times New Roman"/>
          <w:b/>
          <w:color w:val="FF0000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（1）数量指标：</w:t>
      </w:r>
      <w:r>
        <w:rPr>
          <w:rFonts w:hint="default" w:ascii="Times New Roman" w:hAnsi="Times New Roman" w:cs="Times New Roman"/>
          <w:szCs w:val="32"/>
        </w:rPr>
        <w:t>（</w:t>
      </w:r>
      <w:r>
        <w:rPr>
          <w:rFonts w:hint="default" w:ascii="Times New Roman" w:hAnsi="Times New Roman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见附件</w:t>
      </w:r>
      <w:r>
        <w:rPr>
          <w:rFonts w:hint="default" w:ascii="Times New Roman" w:hAnsi="Times New Roman" w:cs="Times New Roman"/>
          <w:szCs w:val="32"/>
        </w:rPr>
        <w:t>）</w:t>
      </w:r>
    </w:p>
    <w:p w14:paraId="746FD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（2）质量指标：</w:t>
      </w:r>
      <w:r>
        <w:rPr>
          <w:rFonts w:hint="default" w:ascii="Times New Roman" w:hAnsi="Times New Roman" w:cs="Times New Roman"/>
          <w:szCs w:val="32"/>
        </w:rPr>
        <w:t>（</w:t>
      </w:r>
      <w:r>
        <w:rPr>
          <w:rFonts w:hint="default" w:ascii="Times New Roman" w:hAnsi="Times New Roman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见附件</w:t>
      </w:r>
      <w:r>
        <w:rPr>
          <w:rFonts w:hint="default" w:ascii="Times New Roman" w:hAnsi="Times New Roman" w:cs="Times New Roman"/>
          <w:szCs w:val="32"/>
        </w:rPr>
        <w:t>）</w:t>
      </w:r>
    </w:p>
    <w:p w14:paraId="331F3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（3）时效指标：</w:t>
      </w:r>
      <w:r>
        <w:rPr>
          <w:rFonts w:hint="default" w:ascii="Times New Roman" w:hAnsi="Times New Roman" w:cs="Times New Roman"/>
          <w:szCs w:val="32"/>
        </w:rPr>
        <w:t>（</w:t>
      </w:r>
      <w:r>
        <w:rPr>
          <w:rFonts w:hint="default" w:ascii="Times New Roman" w:hAnsi="Times New Roman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见附件</w:t>
      </w:r>
      <w:r>
        <w:rPr>
          <w:rFonts w:hint="default" w:ascii="Times New Roman" w:hAnsi="Times New Roman" w:cs="Times New Roman"/>
          <w:szCs w:val="32"/>
        </w:rPr>
        <w:t>）</w:t>
      </w:r>
    </w:p>
    <w:p w14:paraId="785B4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 w:val="32"/>
          <w:szCs w:val="32"/>
        </w:rPr>
        <w:t>（4）成本指标：</w:t>
      </w:r>
      <w:r>
        <w:rPr>
          <w:rFonts w:hint="default" w:ascii="Times New Roman" w:hAnsi="Times New Roman" w:cs="Times New Roman"/>
          <w:szCs w:val="32"/>
        </w:rPr>
        <w:t>（</w:t>
      </w:r>
      <w:r>
        <w:rPr>
          <w:rFonts w:hint="default" w:ascii="Times New Roman" w:hAnsi="Times New Roman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见附件</w:t>
      </w:r>
      <w:r>
        <w:rPr>
          <w:rFonts w:hint="default" w:ascii="Times New Roman" w:hAnsi="Times New Roman" w:cs="Times New Roman"/>
          <w:szCs w:val="32"/>
        </w:rPr>
        <w:t>）</w:t>
      </w:r>
    </w:p>
    <w:p w14:paraId="350A6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cs="Times New Roman"/>
          <w:b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2.效益指标完成情况分析</w:t>
      </w:r>
    </w:p>
    <w:p w14:paraId="7AE69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（1）社会效益：</w:t>
      </w:r>
      <w:r>
        <w:rPr>
          <w:rFonts w:hint="default" w:ascii="Times New Roman" w:hAnsi="Times New Roman" w:cs="Times New Roman"/>
          <w:szCs w:val="32"/>
        </w:rPr>
        <w:t>（</w:t>
      </w:r>
      <w:r>
        <w:rPr>
          <w:rFonts w:hint="default" w:ascii="Times New Roman" w:hAnsi="Times New Roman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见附件</w:t>
      </w:r>
      <w:r>
        <w:rPr>
          <w:rFonts w:hint="default" w:ascii="Times New Roman" w:hAnsi="Times New Roman" w:cs="Times New Roman"/>
          <w:szCs w:val="32"/>
        </w:rPr>
        <w:t>）</w:t>
      </w:r>
    </w:p>
    <w:p w14:paraId="511B2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（2）可持续影响：</w:t>
      </w:r>
      <w:r>
        <w:rPr>
          <w:rFonts w:hint="default" w:ascii="Times New Roman" w:hAnsi="Times New Roman" w:cs="Times New Roman"/>
          <w:szCs w:val="32"/>
        </w:rPr>
        <w:t>（</w:t>
      </w:r>
      <w:r>
        <w:rPr>
          <w:rFonts w:hint="default" w:ascii="Times New Roman" w:hAnsi="Times New Roman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见附件</w:t>
      </w:r>
      <w:r>
        <w:rPr>
          <w:rFonts w:hint="default" w:ascii="Times New Roman" w:hAnsi="Times New Roman" w:cs="Times New Roman"/>
          <w:szCs w:val="32"/>
        </w:rPr>
        <w:t>）</w:t>
      </w:r>
    </w:p>
    <w:p w14:paraId="32281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3.满意度指标完成情况分析</w:t>
      </w:r>
    </w:p>
    <w:p w14:paraId="5BC42CFF">
      <w:pPr>
        <w:keepNext w:val="0"/>
        <w:keepLines w:val="0"/>
        <w:pageBreakBefore w:val="0"/>
        <w:wordWrap/>
        <w:topLinePunct w:val="0"/>
        <w:autoSpaceDN/>
        <w:bidi w:val="0"/>
        <w:adjustRightInd w:val="0"/>
        <w:snapToGrid w:val="0"/>
        <w:spacing w:line="56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cs="Times New Roman"/>
          <w:sz w:val="32"/>
          <w:szCs w:val="32"/>
        </w:rPr>
        <w:t>年残疾人事业项目满意度指标均达到设定值，残疾人对服务的满意度均达到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95</w:t>
      </w:r>
      <w:r>
        <w:rPr>
          <w:rFonts w:hint="default" w:ascii="Times New Roman" w:hAnsi="Times New Roman" w:cs="Times New Roman"/>
          <w:sz w:val="32"/>
          <w:szCs w:val="32"/>
        </w:rPr>
        <w:t>%以上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zh-CN"/>
        </w:rPr>
        <w:t>绩效评级为“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val="en-US" w:eastAsia="zh-CN" w:bidi="zh-CN"/>
        </w:rPr>
        <w:t>优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zh-CN"/>
        </w:rPr>
        <w:t>”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eastAsia="zh-CN" w:bidi="zh-CN"/>
        </w:rPr>
        <w:t>。</w:t>
      </w:r>
    </w:p>
    <w:p w14:paraId="0173F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三、偏离绩效目标的原因和下一步改进措施</w:t>
      </w:r>
    </w:p>
    <w:p w14:paraId="390F2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Cs w:val="32"/>
        </w:rPr>
        <w:t>（一）偏离绩效目标的原因</w:t>
      </w:r>
    </w:p>
    <w:p w14:paraId="31526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eastAsia="zh-CN"/>
        </w:rPr>
        <w:t>截止</w:t>
      </w:r>
      <w:r>
        <w:rPr>
          <w:rFonts w:hint="default" w:ascii="Times New Roman" w:hAnsi="Times New Roman" w:cs="Times New Roman"/>
          <w:szCs w:val="32"/>
          <w:lang w:val="en-US" w:eastAsia="zh-CN"/>
        </w:rPr>
        <w:t>2023年12月31日，结转资金16.45万元，主要超比例安置残疾人补助资金0.72万元、残疾人产业扶持资金2万元、集中就业企业安排残疾人就业养老保险补贴资金4.28万元、就业困难残疾人岗位补贴项目1.45万元、残疾人助学（大中专）6.5万元、寄宿制托养服务1.5万元。结余原因为项目进度涉及到跨年度结算，部分项目资金短缺等。</w:t>
      </w:r>
    </w:p>
    <w:p w14:paraId="23EA6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Cs w:val="32"/>
        </w:rPr>
        <w:t>（二）下一步改进措施</w:t>
      </w:r>
    </w:p>
    <w:p w14:paraId="2A1CA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32"/>
          <w:lang w:eastAsia="zh-CN"/>
        </w:rPr>
        <w:t>第一</w:t>
      </w:r>
      <w:r>
        <w:rPr>
          <w:rFonts w:hint="default" w:ascii="Times New Roman" w:hAnsi="Times New Roman" w:cs="Times New Roman"/>
          <w:szCs w:val="32"/>
          <w:lang w:eastAsia="zh-CN"/>
        </w:rPr>
        <w:t>，在项目资金支付上，我单位将积极对接项目资金短缺情况，同时根据项目实施进度积极支付剩余资金；</w:t>
      </w:r>
      <w:r>
        <w:rPr>
          <w:rFonts w:hint="default" w:ascii="Times New Roman" w:hAnsi="Times New Roman" w:cs="Times New Roman"/>
          <w:b/>
          <w:bCs/>
          <w:szCs w:val="32"/>
          <w:lang w:eastAsia="zh-CN"/>
        </w:rPr>
        <w:t>第二</w:t>
      </w:r>
      <w:r>
        <w:rPr>
          <w:rFonts w:hint="default" w:ascii="Times New Roman" w:hAnsi="Times New Roman" w:cs="Times New Roman"/>
          <w:szCs w:val="32"/>
          <w:lang w:eastAsia="zh-CN"/>
        </w:rPr>
        <w:t>，在政策运用上，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以“城乡居民收入提升行动”为抓手，着力在残疾人家庭经济收入提升上下功夫，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指导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残疾人就业帮扶基地和辅助性就业基地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合理安排残疾人就业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积极培育打造残疾人就业基地，同时扶持培养带动残疾人就业的致富带头人，不断带动残疾人灵活就业，不断增加残疾人家庭经济收入。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继续实施“阳光助残、小康计划”民生项目，帮助残疾人及其家庭增收致富。鼓励党政机关、企事业单位积极安排残疾人就业，特别是对接人社局严格落实公益性岗位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10%比例安排残疾人就业。</w:t>
      </w:r>
    </w:p>
    <w:p w14:paraId="32737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四、绩效自评结果应用和公开情况</w:t>
      </w:r>
    </w:p>
    <w:p w14:paraId="4AD2C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2023年我单位对其他残疾人事业支出项目开展绩效评价，结果都在93分以上，尤其是困难残疾人家庭无障碍改造项目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总体满意度为97.58%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残疾人居家托养项目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总体得分9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分。同时，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根据项目实施进度，组织检查评估，建立健全公示制度，村级、乡镇、残联“三级”公示，定期向社会公布项目救助情况。</w:t>
      </w:r>
    </w:p>
    <w:p w14:paraId="203B954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绩效自评工作的经验、问题和建议。</w:t>
      </w:r>
    </w:p>
    <w:p w14:paraId="755177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工作经验：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lang w:val="en-US" w:eastAsia="zh-CN" w:bidi="zh-CN"/>
        </w:rPr>
        <w:t>项目资金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lang w:eastAsia="zh-CN" w:bidi="zh-CN"/>
        </w:rPr>
        <w:t>规范管理，专款专用。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eastAsia="zh-CN" w:bidi="zh-CN"/>
        </w:rPr>
        <w:t>加强项目管理，建立专门档案，确保相关档案资料完备。同时，加强项目资金管理，项目经费不得用于项目实施方案规定以外的用途。对弄虚作假、违反项目实施原则或挤占、挪用项目资金的单位，追究有关人员的责任，限期收回资金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lang w:bidi="zh-CN"/>
        </w:rPr>
        <w:t>严格督导，保证质量。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bidi="zh-CN"/>
        </w:rPr>
        <w:t>残联同财政部根据项目实施进度，组织检查评估，建立健全公示制度，定期向社会公布项目救助情况。</w:t>
      </w:r>
    </w:p>
    <w:p w14:paraId="35D38A9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leftChars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存在的问题：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绩效预算认识不够充分，绩效理念有待进一步强化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残疾人就业面窄，就业渠道和适合残疾人就业岗位比较少，残疾人自身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就业技能欠缺、就业难，企事业单位吸纳残疾人就业有顾虑等问题依然存在。</w:t>
      </w:r>
    </w:p>
    <w:p w14:paraId="3413F13C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建议：坚持与时俱进，创新推进预算绩效管理。</w:t>
      </w:r>
      <w:r>
        <w:rPr>
          <w:rFonts w:hint="default" w:ascii="Times New Roman" w:hAnsi="Times New Roman" w:eastAsia="仿宋_GB2312" w:cs="Times New Roman"/>
          <w:sz w:val="32"/>
        </w:rPr>
        <w:t>采取多种培训形式对单位财务人员、业务科室人员进行 集中培训，进一步树牢绩效观念，提高本单位工作人员的绩效管理能力和工作水平，为预算绩效管理相关工作的顺利开展提供保障。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>多方发力，</w:t>
      </w: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拓宽就业渠道。</w:t>
      </w:r>
      <w:r>
        <w:rPr>
          <w:rFonts w:hint="default" w:ascii="Times New Roman" w:hAnsi="Times New Roman" w:eastAsia="仿宋_GB2312" w:cs="Times New Roman"/>
          <w:sz w:val="32"/>
        </w:rPr>
        <w:t>积极与专业培训机构合作，根据市场需求选择培训项目，开展盲人按摩、小儿推拿、电子商务、电动车维修、烹饪、面点等不同类型的残疾人职业技能培训班，以提高残疾人社会竞争力就业是民生之本，解决残疾人就业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</w:rPr>
        <w:t>要进一步拓宽残疾人就业渠道，持续开展形式多样的就业援助活动，为残疾人送政策、送信息、送岗位、送服务，帮助更多的残疾人实现稳定就业。</w:t>
      </w:r>
    </w:p>
    <w:p w14:paraId="60D564F1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六、其他需说明的问题。</w:t>
      </w:r>
    </w:p>
    <w:p w14:paraId="7323E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无。</w:t>
      </w:r>
    </w:p>
    <w:p w14:paraId="0E50E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</w:p>
    <w:p w14:paraId="1CFC5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</w:p>
    <w:p w14:paraId="3467C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976" w:firstLineChars="1600"/>
        <w:textAlignment w:val="auto"/>
        <w:rPr>
          <w:rFonts w:hint="default" w:ascii="Times New Roman" w:hAnsi="Times New Roman" w:eastAsia="CESI仿宋-GB2312" w:cs="Times New Roman"/>
          <w:sz w:val="44"/>
          <w:szCs w:val="32"/>
          <w:shd w:val="clear" w:color="auto" w:fill="FFFFFF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0" w:footer="1587" w:gutter="0"/>
      <w:pgNumType w:fmt="numberInDash" w:start="4"/>
      <w:cols w:space="0" w:num="1"/>
      <w:titlePg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CE8E4">
    <w:pPr>
      <w:pStyle w:val="2"/>
      <w:wordWrap w:val="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EABD0D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NVaFh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EABD0D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0EC64">
    <w:pPr>
      <w:pStyle w:val="2"/>
      <w:ind w:firstLine="280" w:firstLineChars="100"/>
      <w:rPr>
        <w:rFonts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A16BCD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B5QfGbdAQAAv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A16BCD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A287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292D89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uMP4fdAQAAv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292D89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9097C4"/>
    <w:multiLevelType w:val="singleLevel"/>
    <w:tmpl w:val="EA9097C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ZGRjZGZhY2UxYzU1NzFkNWNkOWIxMTFlYTZlYWUifQ=="/>
  </w:docVars>
  <w:rsids>
    <w:rsidRoot w:val="00243B55"/>
    <w:rsid w:val="0001233E"/>
    <w:rsid w:val="00012A73"/>
    <w:rsid w:val="000161FB"/>
    <w:rsid w:val="00031187"/>
    <w:rsid w:val="0003167B"/>
    <w:rsid w:val="00036447"/>
    <w:rsid w:val="00040188"/>
    <w:rsid w:val="00044BA3"/>
    <w:rsid w:val="00050BED"/>
    <w:rsid w:val="000855F8"/>
    <w:rsid w:val="000B4A18"/>
    <w:rsid w:val="000C2250"/>
    <w:rsid w:val="000C3DA7"/>
    <w:rsid w:val="000D3E19"/>
    <w:rsid w:val="000E0491"/>
    <w:rsid w:val="000F1D90"/>
    <w:rsid w:val="000F44E8"/>
    <w:rsid w:val="0010096C"/>
    <w:rsid w:val="001018F1"/>
    <w:rsid w:val="00116224"/>
    <w:rsid w:val="00116CA9"/>
    <w:rsid w:val="001329D7"/>
    <w:rsid w:val="0015015C"/>
    <w:rsid w:val="00163ACB"/>
    <w:rsid w:val="00176D0B"/>
    <w:rsid w:val="001A000B"/>
    <w:rsid w:val="001B6FBC"/>
    <w:rsid w:val="001C60FE"/>
    <w:rsid w:val="001C734C"/>
    <w:rsid w:val="001D5F12"/>
    <w:rsid w:val="001D603E"/>
    <w:rsid w:val="001F1480"/>
    <w:rsid w:val="001F1724"/>
    <w:rsid w:val="001F4112"/>
    <w:rsid w:val="0020370F"/>
    <w:rsid w:val="0021070F"/>
    <w:rsid w:val="002110FB"/>
    <w:rsid w:val="002219A4"/>
    <w:rsid w:val="002221B8"/>
    <w:rsid w:val="00230FF6"/>
    <w:rsid w:val="002328C4"/>
    <w:rsid w:val="002333D8"/>
    <w:rsid w:val="00235750"/>
    <w:rsid w:val="00243B55"/>
    <w:rsid w:val="00246CEA"/>
    <w:rsid w:val="00260CB8"/>
    <w:rsid w:val="00271AB9"/>
    <w:rsid w:val="0027737D"/>
    <w:rsid w:val="0028076C"/>
    <w:rsid w:val="00286F01"/>
    <w:rsid w:val="002A3786"/>
    <w:rsid w:val="002B2DA2"/>
    <w:rsid w:val="002B54A4"/>
    <w:rsid w:val="002B6029"/>
    <w:rsid w:val="002B6ED4"/>
    <w:rsid w:val="002C7150"/>
    <w:rsid w:val="002D1EBC"/>
    <w:rsid w:val="002D4837"/>
    <w:rsid w:val="002D6AAA"/>
    <w:rsid w:val="002E6288"/>
    <w:rsid w:val="002E7ADF"/>
    <w:rsid w:val="002F34BD"/>
    <w:rsid w:val="0030214E"/>
    <w:rsid w:val="00303476"/>
    <w:rsid w:val="00303C23"/>
    <w:rsid w:val="003071D5"/>
    <w:rsid w:val="00325E81"/>
    <w:rsid w:val="0033027A"/>
    <w:rsid w:val="00337B32"/>
    <w:rsid w:val="0034146A"/>
    <w:rsid w:val="00341E41"/>
    <w:rsid w:val="003459C4"/>
    <w:rsid w:val="00345F90"/>
    <w:rsid w:val="00347E9C"/>
    <w:rsid w:val="00354F5B"/>
    <w:rsid w:val="00380825"/>
    <w:rsid w:val="00383CF7"/>
    <w:rsid w:val="00392B93"/>
    <w:rsid w:val="0039516E"/>
    <w:rsid w:val="003A2367"/>
    <w:rsid w:val="003B1BBC"/>
    <w:rsid w:val="003C0B2E"/>
    <w:rsid w:val="003C3CA0"/>
    <w:rsid w:val="003F1DCB"/>
    <w:rsid w:val="00400017"/>
    <w:rsid w:val="0040662C"/>
    <w:rsid w:val="00407B1E"/>
    <w:rsid w:val="0042209E"/>
    <w:rsid w:val="0042397F"/>
    <w:rsid w:val="00432401"/>
    <w:rsid w:val="004376B6"/>
    <w:rsid w:val="0044106F"/>
    <w:rsid w:val="0045545D"/>
    <w:rsid w:val="00461981"/>
    <w:rsid w:val="00476B4E"/>
    <w:rsid w:val="00481C9C"/>
    <w:rsid w:val="004878BF"/>
    <w:rsid w:val="004907BA"/>
    <w:rsid w:val="0049373B"/>
    <w:rsid w:val="004A53E6"/>
    <w:rsid w:val="004B25E1"/>
    <w:rsid w:val="004C79C9"/>
    <w:rsid w:val="004E4ECD"/>
    <w:rsid w:val="004E6DD8"/>
    <w:rsid w:val="004E7A08"/>
    <w:rsid w:val="00532B3E"/>
    <w:rsid w:val="00535B06"/>
    <w:rsid w:val="00542BC6"/>
    <w:rsid w:val="00543E4C"/>
    <w:rsid w:val="00544C37"/>
    <w:rsid w:val="00547DCD"/>
    <w:rsid w:val="005512B0"/>
    <w:rsid w:val="005630F4"/>
    <w:rsid w:val="005665E5"/>
    <w:rsid w:val="00567446"/>
    <w:rsid w:val="005843BB"/>
    <w:rsid w:val="005A6A32"/>
    <w:rsid w:val="005B199F"/>
    <w:rsid w:val="005C362C"/>
    <w:rsid w:val="005D50B6"/>
    <w:rsid w:val="005F24DB"/>
    <w:rsid w:val="005F5F3A"/>
    <w:rsid w:val="005F5FFB"/>
    <w:rsid w:val="005F666D"/>
    <w:rsid w:val="00607F9A"/>
    <w:rsid w:val="00617784"/>
    <w:rsid w:val="00617ACC"/>
    <w:rsid w:val="00617B58"/>
    <w:rsid w:val="00634A5E"/>
    <w:rsid w:val="00642C74"/>
    <w:rsid w:val="00645797"/>
    <w:rsid w:val="00673BE7"/>
    <w:rsid w:val="00682303"/>
    <w:rsid w:val="0068368D"/>
    <w:rsid w:val="0069551E"/>
    <w:rsid w:val="00696AB8"/>
    <w:rsid w:val="006A23BB"/>
    <w:rsid w:val="006A4957"/>
    <w:rsid w:val="006B0478"/>
    <w:rsid w:val="006B0897"/>
    <w:rsid w:val="006D274D"/>
    <w:rsid w:val="006F3CD4"/>
    <w:rsid w:val="0071020C"/>
    <w:rsid w:val="00713A07"/>
    <w:rsid w:val="00717C13"/>
    <w:rsid w:val="007259CC"/>
    <w:rsid w:val="007435C2"/>
    <w:rsid w:val="007451BC"/>
    <w:rsid w:val="00766CB5"/>
    <w:rsid w:val="007675C6"/>
    <w:rsid w:val="00774F76"/>
    <w:rsid w:val="00777844"/>
    <w:rsid w:val="00781FD8"/>
    <w:rsid w:val="007823FD"/>
    <w:rsid w:val="0078481F"/>
    <w:rsid w:val="007A0581"/>
    <w:rsid w:val="007A41FD"/>
    <w:rsid w:val="007A6A64"/>
    <w:rsid w:val="007B1CD2"/>
    <w:rsid w:val="007B6D8B"/>
    <w:rsid w:val="007C5E42"/>
    <w:rsid w:val="007D31A6"/>
    <w:rsid w:val="007E3A58"/>
    <w:rsid w:val="007E4DD9"/>
    <w:rsid w:val="008168D9"/>
    <w:rsid w:val="00822E9A"/>
    <w:rsid w:val="00827868"/>
    <w:rsid w:val="00831F19"/>
    <w:rsid w:val="00833E33"/>
    <w:rsid w:val="00851E95"/>
    <w:rsid w:val="00852EB2"/>
    <w:rsid w:val="00856325"/>
    <w:rsid w:val="008609AC"/>
    <w:rsid w:val="008629B9"/>
    <w:rsid w:val="00866310"/>
    <w:rsid w:val="00867BFB"/>
    <w:rsid w:val="00877A47"/>
    <w:rsid w:val="0089405B"/>
    <w:rsid w:val="0089473A"/>
    <w:rsid w:val="00894788"/>
    <w:rsid w:val="008B33E1"/>
    <w:rsid w:val="008B35CA"/>
    <w:rsid w:val="008C0978"/>
    <w:rsid w:val="008D0B5E"/>
    <w:rsid w:val="008F0ED2"/>
    <w:rsid w:val="008F16B7"/>
    <w:rsid w:val="008F6D41"/>
    <w:rsid w:val="00914774"/>
    <w:rsid w:val="00920490"/>
    <w:rsid w:val="0092695B"/>
    <w:rsid w:val="00926E38"/>
    <w:rsid w:val="0093331F"/>
    <w:rsid w:val="00934CC9"/>
    <w:rsid w:val="00951AB7"/>
    <w:rsid w:val="00952C85"/>
    <w:rsid w:val="009570D7"/>
    <w:rsid w:val="00957149"/>
    <w:rsid w:val="00963067"/>
    <w:rsid w:val="00965DBB"/>
    <w:rsid w:val="00983FE6"/>
    <w:rsid w:val="00984B3D"/>
    <w:rsid w:val="00985800"/>
    <w:rsid w:val="009861BD"/>
    <w:rsid w:val="009878A4"/>
    <w:rsid w:val="0099653C"/>
    <w:rsid w:val="009A0EC6"/>
    <w:rsid w:val="009A1307"/>
    <w:rsid w:val="009A2EFD"/>
    <w:rsid w:val="009A69EE"/>
    <w:rsid w:val="009A6FE5"/>
    <w:rsid w:val="009A792B"/>
    <w:rsid w:val="009B1EAA"/>
    <w:rsid w:val="009B5C17"/>
    <w:rsid w:val="009C0B4E"/>
    <w:rsid w:val="009D2F27"/>
    <w:rsid w:val="009E49DB"/>
    <w:rsid w:val="009F1605"/>
    <w:rsid w:val="009F686D"/>
    <w:rsid w:val="00A01769"/>
    <w:rsid w:val="00A05A8E"/>
    <w:rsid w:val="00A1127D"/>
    <w:rsid w:val="00A1640A"/>
    <w:rsid w:val="00A22D7C"/>
    <w:rsid w:val="00A316A8"/>
    <w:rsid w:val="00A40A9B"/>
    <w:rsid w:val="00A44623"/>
    <w:rsid w:val="00A64496"/>
    <w:rsid w:val="00A70799"/>
    <w:rsid w:val="00A72AD0"/>
    <w:rsid w:val="00A765CC"/>
    <w:rsid w:val="00A81D36"/>
    <w:rsid w:val="00A83C9A"/>
    <w:rsid w:val="00A84E0A"/>
    <w:rsid w:val="00A91EA8"/>
    <w:rsid w:val="00A93E63"/>
    <w:rsid w:val="00A94793"/>
    <w:rsid w:val="00A96227"/>
    <w:rsid w:val="00AA3997"/>
    <w:rsid w:val="00AA4BFA"/>
    <w:rsid w:val="00AA536A"/>
    <w:rsid w:val="00AB3887"/>
    <w:rsid w:val="00AC1EB5"/>
    <w:rsid w:val="00AD2312"/>
    <w:rsid w:val="00AD2DFE"/>
    <w:rsid w:val="00AE6A9B"/>
    <w:rsid w:val="00B170F4"/>
    <w:rsid w:val="00B25888"/>
    <w:rsid w:val="00B5538E"/>
    <w:rsid w:val="00B6384F"/>
    <w:rsid w:val="00B63B56"/>
    <w:rsid w:val="00B65657"/>
    <w:rsid w:val="00B662E0"/>
    <w:rsid w:val="00B67682"/>
    <w:rsid w:val="00B70026"/>
    <w:rsid w:val="00B705AB"/>
    <w:rsid w:val="00B70CB6"/>
    <w:rsid w:val="00B76C9F"/>
    <w:rsid w:val="00B83395"/>
    <w:rsid w:val="00B96383"/>
    <w:rsid w:val="00B97975"/>
    <w:rsid w:val="00BB0EC8"/>
    <w:rsid w:val="00BC05E9"/>
    <w:rsid w:val="00BC322D"/>
    <w:rsid w:val="00BD6AF3"/>
    <w:rsid w:val="00BD72AE"/>
    <w:rsid w:val="00BF2F14"/>
    <w:rsid w:val="00BF7FF6"/>
    <w:rsid w:val="00C00F5C"/>
    <w:rsid w:val="00C30CBA"/>
    <w:rsid w:val="00C33C29"/>
    <w:rsid w:val="00C3784A"/>
    <w:rsid w:val="00C416E7"/>
    <w:rsid w:val="00C643A5"/>
    <w:rsid w:val="00C7607C"/>
    <w:rsid w:val="00C77983"/>
    <w:rsid w:val="00C77B57"/>
    <w:rsid w:val="00C84A56"/>
    <w:rsid w:val="00C87B22"/>
    <w:rsid w:val="00C931EE"/>
    <w:rsid w:val="00CA036C"/>
    <w:rsid w:val="00CA27EB"/>
    <w:rsid w:val="00CA6C2E"/>
    <w:rsid w:val="00CB3FB4"/>
    <w:rsid w:val="00CC2939"/>
    <w:rsid w:val="00CD564A"/>
    <w:rsid w:val="00CD6C69"/>
    <w:rsid w:val="00CE01BF"/>
    <w:rsid w:val="00CE3B7C"/>
    <w:rsid w:val="00CE67B2"/>
    <w:rsid w:val="00CE6D73"/>
    <w:rsid w:val="00CF56E1"/>
    <w:rsid w:val="00D06ECF"/>
    <w:rsid w:val="00D070B5"/>
    <w:rsid w:val="00D07635"/>
    <w:rsid w:val="00D10410"/>
    <w:rsid w:val="00D1517D"/>
    <w:rsid w:val="00D15FB4"/>
    <w:rsid w:val="00D200A7"/>
    <w:rsid w:val="00D21904"/>
    <w:rsid w:val="00D26A08"/>
    <w:rsid w:val="00D31879"/>
    <w:rsid w:val="00D31DB4"/>
    <w:rsid w:val="00D3549A"/>
    <w:rsid w:val="00D3654F"/>
    <w:rsid w:val="00D51786"/>
    <w:rsid w:val="00D53F21"/>
    <w:rsid w:val="00D5691A"/>
    <w:rsid w:val="00D57FC7"/>
    <w:rsid w:val="00D61EFA"/>
    <w:rsid w:val="00D67E3E"/>
    <w:rsid w:val="00D71828"/>
    <w:rsid w:val="00D76038"/>
    <w:rsid w:val="00D92AE9"/>
    <w:rsid w:val="00D92BE8"/>
    <w:rsid w:val="00DB1D40"/>
    <w:rsid w:val="00DB2EBF"/>
    <w:rsid w:val="00DB4CBA"/>
    <w:rsid w:val="00DC1742"/>
    <w:rsid w:val="00DC55A9"/>
    <w:rsid w:val="00DC56F1"/>
    <w:rsid w:val="00DD40B8"/>
    <w:rsid w:val="00DE3D34"/>
    <w:rsid w:val="00E01EE4"/>
    <w:rsid w:val="00E05605"/>
    <w:rsid w:val="00E06F23"/>
    <w:rsid w:val="00E170F8"/>
    <w:rsid w:val="00E21305"/>
    <w:rsid w:val="00E25C0D"/>
    <w:rsid w:val="00E26233"/>
    <w:rsid w:val="00E26CF2"/>
    <w:rsid w:val="00E31A25"/>
    <w:rsid w:val="00E33975"/>
    <w:rsid w:val="00E43615"/>
    <w:rsid w:val="00E472C3"/>
    <w:rsid w:val="00E549A6"/>
    <w:rsid w:val="00E55B97"/>
    <w:rsid w:val="00E56197"/>
    <w:rsid w:val="00E6136A"/>
    <w:rsid w:val="00E617D7"/>
    <w:rsid w:val="00E66576"/>
    <w:rsid w:val="00E7136C"/>
    <w:rsid w:val="00E82924"/>
    <w:rsid w:val="00E90397"/>
    <w:rsid w:val="00E95081"/>
    <w:rsid w:val="00EA31B0"/>
    <w:rsid w:val="00EB74B5"/>
    <w:rsid w:val="00EC2D55"/>
    <w:rsid w:val="00EC639E"/>
    <w:rsid w:val="00EE53AF"/>
    <w:rsid w:val="00F01C3B"/>
    <w:rsid w:val="00F05477"/>
    <w:rsid w:val="00F06D7F"/>
    <w:rsid w:val="00F123C3"/>
    <w:rsid w:val="00F22712"/>
    <w:rsid w:val="00F30C6E"/>
    <w:rsid w:val="00F34B09"/>
    <w:rsid w:val="00F44866"/>
    <w:rsid w:val="00F558B4"/>
    <w:rsid w:val="00F600EB"/>
    <w:rsid w:val="00F71CD1"/>
    <w:rsid w:val="00F76610"/>
    <w:rsid w:val="00F8190D"/>
    <w:rsid w:val="00F8669E"/>
    <w:rsid w:val="00F90497"/>
    <w:rsid w:val="00F90CF6"/>
    <w:rsid w:val="00F9232F"/>
    <w:rsid w:val="00F94C72"/>
    <w:rsid w:val="00F95532"/>
    <w:rsid w:val="00FB0C6C"/>
    <w:rsid w:val="00FB2D47"/>
    <w:rsid w:val="00FB36E9"/>
    <w:rsid w:val="00FC0A51"/>
    <w:rsid w:val="00FC1622"/>
    <w:rsid w:val="00FC1B82"/>
    <w:rsid w:val="00FE039B"/>
    <w:rsid w:val="00FE4193"/>
    <w:rsid w:val="00FE7C09"/>
    <w:rsid w:val="00FF4AB3"/>
    <w:rsid w:val="00FF78A7"/>
    <w:rsid w:val="033F0DB8"/>
    <w:rsid w:val="06556151"/>
    <w:rsid w:val="06564F0D"/>
    <w:rsid w:val="082B42D6"/>
    <w:rsid w:val="09170293"/>
    <w:rsid w:val="0DAF6CC4"/>
    <w:rsid w:val="0F745A8E"/>
    <w:rsid w:val="10D96485"/>
    <w:rsid w:val="13E36CF8"/>
    <w:rsid w:val="147711C8"/>
    <w:rsid w:val="162733CB"/>
    <w:rsid w:val="16606987"/>
    <w:rsid w:val="193A32DB"/>
    <w:rsid w:val="1A271AB1"/>
    <w:rsid w:val="1AB01AA7"/>
    <w:rsid w:val="1B6C00C4"/>
    <w:rsid w:val="1B762547"/>
    <w:rsid w:val="1C4D1829"/>
    <w:rsid w:val="1ED65854"/>
    <w:rsid w:val="1F226CEB"/>
    <w:rsid w:val="23F24EDE"/>
    <w:rsid w:val="24290C70"/>
    <w:rsid w:val="25677F3A"/>
    <w:rsid w:val="26667B92"/>
    <w:rsid w:val="26C754EF"/>
    <w:rsid w:val="27E41E8D"/>
    <w:rsid w:val="28481571"/>
    <w:rsid w:val="286363AA"/>
    <w:rsid w:val="290C4326"/>
    <w:rsid w:val="29C33C7F"/>
    <w:rsid w:val="2A1D4A21"/>
    <w:rsid w:val="2C1300E8"/>
    <w:rsid w:val="2DB87198"/>
    <w:rsid w:val="2DBD47AF"/>
    <w:rsid w:val="2E0777D8"/>
    <w:rsid w:val="2FF6D337"/>
    <w:rsid w:val="308267B6"/>
    <w:rsid w:val="30E8051D"/>
    <w:rsid w:val="3A0B0650"/>
    <w:rsid w:val="3B5129DA"/>
    <w:rsid w:val="3F9E22A6"/>
    <w:rsid w:val="3FB83302"/>
    <w:rsid w:val="41E06866"/>
    <w:rsid w:val="44116BBF"/>
    <w:rsid w:val="45A54F8F"/>
    <w:rsid w:val="46794B93"/>
    <w:rsid w:val="49B43415"/>
    <w:rsid w:val="49C831FE"/>
    <w:rsid w:val="4AA743C5"/>
    <w:rsid w:val="4C561BFF"/>
    <w:rsid w:val="4C8F6EBF"/>
    <w:rsid w:val="4D651C21"/>
    <w:rsid w:val="4E487C6D"/>
    <w:rsid w:val="4EC3367F"/>
    <w:rsid w:val="4EEA059A"/>
    <w:rsid w:val="50643CBF"/>
    <w:rsid w:val="51730B5D"/>
    <w:rsid w:val="53BF275F"/>
    <w:rsid w:val="55BD1CC8"/>
    <w:rsid w:val="5632283D"/>
    <w:rsid w:val="571B36E6"/>
    <w:rsid w:val="5900361E"/>
    <w:rsid w:val="5B2C1BEB"/>
    <w:rsid w:val="5DB468A9"/>
    <w:rsid w:val="60C2052B"/>
    <w:rsid w:val="626D15F8"/>
    <w:rsid w:val="635B76A3"/>
    <w:rsid w:val="641C6E32"/>
    <w:rsid w:val="64836EB1"/>
    <w:rsid w:val="65671144"/>
    <w:rsid w:val="67C57A95"/>
    <w:rsid w:val="68CA7FDC"/>
    <w:rsid w:val="69676DA1"/>
    <w:rsid w:val="6AC83870"/>
    <w:rsid w:val="6ACF7DA4"/>
    <w:rsid w:val="6C4B5B19"/>
    <w:rsid w:val="6C86289F"/>
    <w:rsid w:val="6EB03F04"/>
    <w:rsid w:val="71CF7C45"/>
    <w:rsid w:val="75DE663D"/>
    <w:rsid w:val="75E63744"/>
    <w:rsid w:val="778E627B"/>
    <w:rsid w:val="783D3C3D"/>
    <w:rsid w:val="784A41ED"/>
    <w:rsid w:val="788B01D8"/>
    <w:rsid w:val="798C4DF6"/>
    <w:rsid w:val="79D264B9"/>
    <w:rsid w:val="7A9462D2"/>
    <w:rsid w:val="7BEE3D32"/>
    <w:rsid w:val="7DCD6D7E"/>
    <w:rsid w:val="7FF63BB9"/>
    <w:rsid w:val="7FFFAA9B"/>
    <w:rsid w:val="ECF7D39D"/>
    <w:rsid w:val="EDCBC3E2"/>
    <w:rsid w:val="FEB921C3"/>
    <w:rsid w:val="FED8F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Body Text Indent"/>
    <w:basedOn w:val="1"/>
    <w:next w:val="2"/>
    <w:autoRedefine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11"/>
    <w:autoRedefine/>
    <w:qFormat/>
    <w:uiPriority w:val="99"/>
    <w:rPr>
      <w:rFonts w:ascii="等线" w:hAnsi="Courier New" w:eastAsia="等线"/>
      <w:kern w:val="0"/>
      <w:sz w:val="20"/>
      <w:szCs w:val="20"/>
    </w:rPr>
  </w:style>
  <w:style w:type="paragraph" w:styleId="5">
    <w:name w:val="Balloon Text"/>
    <w:basedOn w:val="1"/>
    <w:link w:val="14"/>
    <w:autoRedefine/>
    <w:semiHidden/>
    <w:qFormat/>
    <w:uiPriority w:val="99"/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character" w:customStyle="1" w:styleId="11">
    <w:name w:val="纯文本 字符"/>
    <w:link w:val="4"/>
    <w:autoRedefine/>
    <w:qFormat/>
    <w:locked/>
    <w:uiPriority w:val="99"/>
    <w:rPr>
      <w:rFonts w:ascii="等线" w:hAnsi="Courier New"/>
    </w:rPr>
  </w:style>
  <w:style w:type="character" w:customStyle="1" w:styleId="12">
    <w:name w:val="页脚 字符"/>
    <w:link w:val="2"/>
    <w:autoRedefine/>
    <w:qFormat/>
    <w:locked/>
    <w:uiPriority w:val="99"/>
    <w:rPr>
      <w:rFonts w:ascii="宋体" w:hAnsi="宋体" w:eastAsia="仿宋_GB2312"/>
      <w:sz w:val="18"/>
    </w:rPr>
  </w:style>
  <w:style w:type="character" w:customStyle="1" w:styleId="13">
    <w:name w:val="页眉 字符"/>
    <w:link w:val="6"/>
    <w:autoRedefine/>
    <w:qFormat/>
    <w:locked/>
    <w:uiPriority w:val="99"/>
    <w:rPr>
      <w:rFonts w:ascii="宋体" w:hAnsi="宋体" w:eastAsia="仿宋_GB2312"/>
      <w:sz w:val="18"/>
    </w:rPr>
  </w:style>
  <w:style w:type="character" w:customStyle="1" w:styleId="14">
    <w:name w:val="批注框文本 字符"/>
    <w:link w:val="5"/>
    <w:autoRedefine/>
    <w:semiHidden/>
    <w:qFormat/>
    <w:locked/>
    <w:uiPriority w:val="99"/>
    <w:rPr>
      <w:rFonts w:ascii="宋体" w:hAnsi="宋体" w:eastAsia="仿宋_GB2312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3065</Words>
  <Characters>3377</Characters>
  <Lines>15</Lines>
  <Paragraphs>4</Paragraphs>
  <TotalTime>16</TotalTime>
  <ScaleCrop>false</ScaleCrop>
  <LinksUpToDate>false</LinksUpToDate>
  <CharactersWithSpaces>3383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2017-09-27T18:49:00Z</dcterms:created>
  <dc:creator>Administrator</dc:creator>
  <cp:lastModifiedBy>么么</cp:lastModifiedBy>
  <cp:lastPrinted>2020-05-08T02:22:00Z</cp:lastPrinted>
  <dcterms:modified xsi:type="dcterms:W3CDTF">2024-12-04T06:57:32Z</dcterms:modified>
  <dc:title>关于深入贯彻落实中央八项规定精神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32C3F18AF4A640D2979058D9742AA280_13</vt:lpwstr>
  </property>
</Properties>
</file>